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" text:style-name="Internet_20_link" text:visited-style-name="Visited_20_Internet_20_Link">
              <text:span text:style-name="ListLabel_20_28">
                <text:span text:style-name="T8">1 01 -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"/>
        01 - januari 2020
        <text:bookmark-end text:name="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09-02-2020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de Toiletalliantie-stichting voor openbare toiletten- Nieuwjaarswensen - 20200110
              <text:span text:style-name="T3"/>
            </text:p>
            <text:p text:style-name="P7"/>
          </table:table-cell>
          <table:table-cell table:style-name="Table4.A2" office:value-type="string">
            <text:p text:style-name="P8">13-01-2020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de-Toiletalliantie-stichting-voor-openbare-toiletten-Nieuwjaarswensen-20200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A-05 gemeente Achtkarspelen - Motie vreemd aan de orde van de dag 
              <text:s/>
              inzake afschaffing verhuurdersheffing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Achtkarspelen-Motie-vreemd-aan-de-orde-van-de-dag-inzake-afschaffing-verhuurdersheff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A-07 Gemeente Bergen - Aangenomen motie + brief aan voorzitter tweede kamer over 5G netwerk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Bergen-Aangenomen-motie-brief-aan-voorzitter-tweede-kamer-over-5G-net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A-08 Min van BiZa - Energie en democratie - essay Marcel Boogers oktober 2019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in-van-BiZa-Energie-en-democratie-essay-Marcel-Boogers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Dhr. R. Slager - 5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Dhr-R-Slager-5-G-experimenten-Levend-Laboratorium-2020-202001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Bijlage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5-G-experimenten-Levend-Laboratorium-2020-2020010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Dhr. Maan en dhr. van 't Hof- WOB verzoek inzake openbare verlichting en adviescommissie 
              <text:s/>
              - 20200112
              <text:span text:style-name="T3"/>
            </text:p>
            <text:p text:style-name="P7"/>
          </table:table-cell>
          <table:table-cell table:style-name="Table4.A2" office:value-type="string">
            <text:p text:style-name="P8">22-01-2020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Maan-en-dhr-van-t-Hof-WOB-verzoek-inzake-openbare-verlichting-en-adviescommissie-2020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Rekenkamercommissie Stichtse Vecht - 
              <text:s/>
              Verslag 2019-Jaarplan 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ommissie-Stichtse-Vecht-Verslag-2019-Jaarpla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College van B&amp;amp;W - Boardletter 2019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llege-van-B-W-Boardlett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anuar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H-03 College van B&amp;amp;W - Beantwoordingsbrief op brief B-02 uit december 2019 inzake Transparantie en publicatie van WOB verzoeken_Geredigeerd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College-van-B-W-Beantwoordingsbrief-op-brief-B-02-uit-december-2019-inzake-Transparantie-en-publicatie-van-WOB-verzoeken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44" meta:character-count="1514" meta:non-whitespace-character-count="1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