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6" text:style-name="Internet_20_link" text:visited-style-name="Visited_20_Internet_20_Link">
              <text:span text:style-name="ListLabel_20_28">
                <text:span text:style-name="T8">1 01. Januari 2023 - raad 7 februari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6"/>
        01. Januari 2023 - raad 7 februari 2023
        <text:bookmark-end text:name="2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27-01-2023 13:40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Inwoner - Wonen en doorstromen - 900.000 is geen 900.000 woningen - 20230106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Inwoner-Wonen-en-doorstromen-900-000-is-geen-900-000-woningen-202301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G-A-01 ODRU - Digitale aanbiedingsbrief vastgestelde Kadernota 2024 - 20220109
              <text:span text:style-name="T3"/>
            </text:p>
            <text:p text:style-name="P7"/>
          </table:table-cell>
          <table:table-cell table:style-name="Table4.A2" office:value-type="string">
            <text:p text:style-name="P8">11-01-2023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4,82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ODRU-Digitale-aanbiedingsbrief-vastgestelde-Kadernota-2024-202201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Gemeente Zwijndrecht - Brief aan Eerste Kamer - Extern voorzitterschap - 20230126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Gemeente-Zwijndrecht-Brief-aan-Eerste-Kamer-Extern-voorzitterschap-202301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Nationale Ombudsman - Rapport Als de overheid niet thuis geeft - 20230124_Geredigeerd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Nationale-Ombudsman-Rapport-Als-de-overheid-niet-thuis-geeft-20230124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Actiz Jeugd - Informatiebrief ten behoeve van de raadsleden inzake Kompas ActiZ Jeugd - 20230126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Actiz-Jeugd-Informatiebrief-ten-behoeve-van-de-raadsleden-inzake-Kompas-ActiZ-Jeugd-202301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Lijst ingekomen stukken januari 2023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anuari-2023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59" meta:character-count="975" meta:non-whitespace-character-count="8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