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" text:style-name="Internet_20_link" text:visited-style-name="Visited_20_Internet_20_Link">
              <text:span text:style-name="ListLabel_20_28">
                <text:span text:style-name="T8">1 Raad 4-4-2017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"/>
        Raad 4-4-2017
        <text:bookmark-end text:name="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M3 PvdA, LL, M2000, SV Beweegt - Rekenkameronderzoek problemen BSWW - niet ingediend
              <text:span text:style-name="T3"/>
            </text:p>
            <text:p text:style-name="P7"/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3-PvdA-LL-M2000-SV-Beweegt-Rekenkameronderzoek-problemen-BSWW-niet-inged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M18 Het Vechtse Verbond en D66 - Opschorten termijnen tbv de onderzoekscommissie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8-Het-Vechtse-Verbond-en-D66-Opschorten-termijnen-tbv-de-onderzoekscommissi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M18-2 Het Vechtse Verbond 
              <text:s/>
              - Duidelijke argumentatie tegen weideschuur - niet ingediend
              <text:span text:style-name="T3"/>
            </text:p>
            <text:p text:style-name="P7"/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8-2-Het-Vechtse-Verbond-Duidelijke-argumentatie-tegen-weideschuur-niet-ingedi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M19 PvdA, SVB,GL en M2000 -Woonvisie moet uitgangspunt zijn bij woningbouw - ingetrokken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9-PvdA-SVB-GL-en-M2000-Woonvisie-moet-uitgangspunt-zijn-bij-woningbouw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5" meta:character-count="722" meta:non-whitespace-character-count="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