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1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34 - 8 sept - Voorontwerp-bestemmingsplan Ruimtekwartier (Planetenbaan); presentiegelden cie bezwaarschriften; clientervaringsonderzoek Wmo; 
              <text:soft-page-break/>
              eindevaluatie prestatieafspraken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15-09-2022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