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2" text:style-name="Internet_20_link" text:visited-style-name="Visited_20_Internet_20_Link">
              <text:span text:style-name="ListLabel_20_28">
                <text:span text:style-name="T8">1 Raadsinformatiebrieven 2025</text:span>
              </text:span>
            </text:a>
          </text:p>
        </text:list-item>
        <text:list-item>
          <text:p text:style-name="P2" loext:marker-style-name="T5">
            <text:a xlink:type="simple" xlink:href="#321" text:style-name="Internet_20_link" text:visited-style-name="Visited_20_Internet_20_Link">
              <text:span text:style-name="ListLabel_20_28">
                <text:span text:style-name="T8">2 Bijlagen RIB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04 - 6 feb; Zienswijze Samen Sterker; Nieuw Inkoop- en Aanbestedingsbel, Alg Inkoopvw en Klachtenpro; Vertraging bouw De Splitsing; Dienstverl 
              <text:soft-page-break/>
              en serviceafspr; Rapport Van der Bunt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29 - 17 jul; Jaagpad SV; Landelijk Gebied; Portaal en V&amp;amp;O; Sociale Recherche G&amp;amp;O; HH afval; Verkabelingsverzoek; De Splitsing; Jeugdhulp en Wmo; Woonvisie; Kerkweg 43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41 - 27 nov; Bureau Urgente Noden SV; Extra verlichting; Staalslakken; Windturbines; BghU Informatiememo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7-nov-Bureau-Urgente-Noden-SV-Extra-verlichting-Staalslakken-Windturbines-BghU-Informatiememo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8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03-12-2025 14:33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>
        <text:soft-page-break/>
      </text:p>
      <text:p text:style-name="P30">
        Documenten (91)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6.A2" office:value-type="string">
            <text:p text:style-name="P8">13-02-2025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6.A2" office:value-type="string">
            <text:p text:style-name="P8">26-02-2025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6.A2" office:value-type="string">
            <text:p text:style-name="P8">31-03-2025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6.A2" office:value-type="string">
            <text:p text:style-name="P8">09-04-2025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6.A2" office:value-type="string">
            <text:p text:style-name="P8">19-06-2025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6.A2" office:value-type="string">
            <text:p text:style-name="P8">24-06-2025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6.A2" office:value-type="string">
            <text:p text:style-name="P8">01-07-2025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6.A2" office:value-type="string">
            <text:p text:style-name="P8">30-09-2025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6.A2" office:value-type="string">
            <text:p text:style-name="P8">07-10-2025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05-11-2025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6.A2" office:value-type="string">
            <text:p text:style-name="P8">25-11-2025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20251126 Bijlage 1B Memo aanvullende juridische verkenning normenkader windturbines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6-Bijlage-1B-Memo-aanvullende-juridische-verkenning-normenkader-windturbines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20251126 Bijlage 1A Memo juridische verkenning normenkader windturbines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764,28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6-Bijlage-1A-Memo-juridische-verkenning-normenkader-windturbines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20251203 1. Uitvoeringsplan IHP
              <text:span text:style-name="T3"/>
            </text:p>
            <text:p text:style-name="P7"/>
          </table:table-cell>
          <table:table-cell table:style-name="Table6.A2" office:value-type="string">
            <text:p text:style-name="P8">03-12-2025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203-1-Uitvoeringsplan-IHP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66" meta:object-count="0" meta:page-count="16" meta:paragraph-count="821" meta:word-count="2106" meta:character-count="14761" meta:non-whitespace-character-count="13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