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5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8" text:style-name="Internet_20_link" text:visited-style-name="Visited_20_Internet_20_Link">
              <text:span text:style-name="ListLabel_20_28">
                <text:span text:style-name="T8">1 Bijlagen RIB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23-02-2022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4.A2" office:value-type="string">
            <text:p text:style-name="P8">23-02-2022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4.A2" office:value-type="string">
            <text:p text:style-name="P8">29-03-2022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2022-03-29 Koersprogramma-naar-Samen-doen-wat-helpt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448,86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4.A2" office:value-type="string">
            <text:p text:style-name="P8">20-04-2022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4.A2" office:value-type="string">
            <text:p text:style-name="P8">02-09-2022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4.A2" office:value-type="string">
            <text:p text:style-name="P8">02-09-2022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4.A2" office:value-type="string">
            <text:p text:style-name="P8">08-11-2022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4.A2" office:value-type="string">
            <text:p text:style-name="P8">08-11-2022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1" meta:object-count="0" meta:page-count="8" meta:paragraph-count="465" meta:word-count="904" meta:character-count="6374" meta:non-whitespace-character-count="59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