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2" text:style-name="Internet_20_link" text:visited-style-name="Visited_20_Internet_20_Link">
              <text:span text:style-name="ListLabel_20_28">
                <text:span text:style-name="T8">1 Raadsinformatiebrieven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04 - 6 feb; Zienswijze Samen Sterker; Nieuw Inkoop- en Aanbestedingsbel, Alg Inkoopvw en Klachtenpro; Vertraging bouw De Splitsing; Dienstverl en serviceafspr; Rapport Van der Bunt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29 - 17 jul; Jaagpad SV; Landelijk Gebied; Portaal en V&amp;amp;O; Sociale Recherche G&amp;amp;O; HH afval; Verkabelingsverzoek; De Splitsing; 
              <text:soft-page-break/>
              Jeugdhulp en Wmo; Woonvisie; Kerkweg 43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41 - 27 nov; Bureau Urgente Noden SV; Extra verlichting; Staalslakken; Windturbines; BghU Informatiememo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7-nov-Bureau-Urgente-Noden-SV-Extra-verlichting-Staalslakken-Windturbines-BghU-Informatiememo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3" meta:object-count="0" meta:page-count="6" meta:paragraph-count="261" meta:word-count="899" meta:character-count="6075" meta:non-whitespace-character-count="5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