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23" meta:object-count="0" meta:page-count="8" meta:paragraph-count="381" meta:word-count="1276" meta:character-count="7950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